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4E6E" w14:textId="11296037" w:rsidR="008C1FF4" w:rsidRPr="008C1FF4" w:rsidRDefault="008C1FF4" w:rsidP="008C1FF4">
      <w:pPr>
        <w:spacing w:after="0" w:line="750" w:lineRule="atLeast"/>
        <w:jc w:val="center"/>
        <w:outlineLvl w:val="0"/>
        <w:rPr>
          <w:rFonts w:ascii="Roboto" w:eastAsia="Times New Roman" w:hAnsi="Roboto" w:cs="Times New Roman"/>
          <w:b/>
          <w:bCs/>
          <w:color w:val="333333"/>
          <w:kern w:val="36"/>
          <w:sz w:val="44"/>
          <w:szCs w:val="44"/>
        </w:rPr>
      </w:pPr>
      <w:r>
        <w:rPr>
          <w:rFonts w:ascii="Roboto" w:hAnsi="Roboto"/>
          <w:b/>
          <w:bCs/>
          <w:color w:val="333333"/>
          <w:sz w:val="44"/>
          <w:szCs w:val="44"/>
        </w:rPr>
        <w:t>Cinco ma</w:t>
      </w:r>
      <w:r w:rsidR="00091D98">
        <w:rPr>
          <w:rFonts w:ascii="Roboto" w:hAnsi="Roboto"/>
          <w:b/>
          <w:bCs/>
          <w:color w:val="333333"/>
          <w:sz w:val="44"/>
          <w:szCs w:val="44"/>
        </w:rPr>
        <w:t>nera</w:t>
      </w:r>
      <w:r>
        <w:rPr>
          <w:rFonts w:ascii="Roboto" w:hAnsi="Roboto"/>
          <w:b/>
          <w:bCs/>
          <w:color w:val="333333"/>
          <w:sz w:val="44"/>
          <w:szCs w:val="44"/>
        </w:rPr>
        <w:t xml:space="preserve">s en las que Data </w:t>
      </w:r>
      <w:proofErr w:type="spellStart"/>
      <w:r>
        <w:rPr>
          <w:rFonts w:ascii="Roboto" w:hAnsi="Roboto"/>
          <w:b/>
          <w:bCs/>
          <w:color w:val="333333"/>
          <w:sz w:val="44"/>
          <w:szCs w:val="44"/>
        </w:rPr>
        <w:t>Must</w:t>
      </w:r>
      <w:proofErr w:type="spellEnd"/>
      <w:r>
        <w:rPr>
          <w:rFonts w:ascii="Roboto" w:hAnsi="Roboto"/>
          <w:b/>
          <w:bCs/>
          <w:color w:val="333333"/>
          <w:sz w:val="44"/>
          <w:szCs w:val="44"/>
        </w:rPr>
        <w:t xml:space="preserve"> </w:t>
      </w:r>
      <w:proofErr w:type="spellStart"/>
      <w:r>
        <w:rPr>
          <w:rFonts w:ascii="Roboto" w:hAnsi="Roboto"/>
          <w:b/>
          <w:bCs/>
          <w:color w:val="333333"/>
          <w:sz w:val="44"/>
          <w:szCs w:val="44"/>
        </w:rPr>
        <w:t>Speak</w:t>
      </w:r>
      <w:proofErr w:type="spellEnd"/>
      <w:r>
        <w:rPr>
          <w:rFonts w:ascii="Roboto" w:hAnsi="Roboto"/>
          <w:b/>
          <w:bCs/>
          <w:color w:val="333333"/>
          <w:sz w:val="44"/>
          <w:szCs w:val="44"/>
        </w:rPr>
        <w:t xml:space="preserve"> está </w:t>
      </w:r>
      <w:proofErr w:type="spellStart"/>
      <w:r>
        <w:rPr>
          <w:rFonts w:ascii="Roboto" w:hAnsi="Roboto"/>
          <w:b/>
          <w:bCs/>
          <w:color w:val="333333"/>
          <w:sz w:val="44"/>
          <w:szCs w:val="44"/>
        </w:rPr>
        <w:t>co-creando</w:t>
      </w:r>
      <w:proofErr w:type="spellEnd"/>
      <w:r>
        <w:rPr>
          <w:rFonts w:ascii="Roboto" w:hAnsi="Roboto"/>
          <w:b/>
          <w:bCs/>
          <w:color w:val="333333"/>
          <w:sz w:val="44"/>
          <w:szCs w:val="44"/>
        </w:rPr>
        <w:t xml:space="preserve"> investigación educativa</w:t>
      </w:r>
    </w:p>
    <w:p w14:paraId="54B54858" w14:textId="0C2985CD" w:rsidR="008C1FF4" w:rsidRDefault="008C1FF4" w:rsidP="008C1FF4">
      <w:pPr>
        <w:pStyle w:val="NormalWeb"/>
        <w:shd w:val="clear" w:color="auto" w:fill="FFFFFF"/>
        <w:spacing w:before="0" w:beforeAutospacing="0" w:after="150" w:afterAutospacing="0" w:line="345" w:lineRule="atLeast"/>
        <w:jc w:val="center"/>
        <w:rPr>
          <w:rFonts w:ascii="Roboto" w:hAnsi="Roboto"/>
          <w:color w:val="333333"/>
        </w:rPr>
      </w:pPr>
      <w:r>
        <w:rPr>
          <w:rFonts w:ascii="Roboto" w:hAnsi="Roboto"/>
          <w:color w:val="333333"/>
        </w:rPr>
        <w:t xml:space="preserve">Autores: </w:t>
      </w:r>
      <w:hyperlink r:id="rId6" w:tgtFrame="_blank" w:history="1">
        <w:r>
          <w:rPr>
            <w:rStyle w:val="Hyperlink"/>
            <w:rFonts w:ascii="Roboto" w:hAnsi="Roboto"/>
            <w:color w:val="1CABE2"/>
            <w:u w:val="none"/>
          </w:rPr>
          <w:t xml:space="preserve">Kevin </w:t>
        </w:r>
        <w:proofErr w:type="spellStart"/>
        <w:r>
          <w:rPr>
            <w:rStyle w:val="Hyperlink"/>
            <w:rFonts w:ascii="Roboto" w:hAnsi="Roboto"/>
            <w:color w:val="1CABE2"/>
            <w:u w:val="none"/>
          </w:rPr>
          <w:t>Clidoro</w:t>
        </w:r>
        <w:proofErr w:type="spellEnd"/>
      </w:hyperlink>
      <w:r>
        <w:rPr>
          <w:rFonts w:ascii="Roboto" w:hAnsi="Roboto"/>
          <w:color w:val="333333"/>
        </w:rPr>
        <w:t xml:space="preserve">, </w:t>
      </w:r>
      <w:hyperlink r:id="rId7" w:tgtFrame="_blank" w:history="1">
        <w:r>
          <w:rPr>
            <w:rStyle w:val="Hyperlink"/>
            <w:rFonts w:ascii="Roboto" w:hAnsi="Roboto"/>
            <w:color w:val="1CABE2"/>
            <w:u w:val="none"/>
          </w:rPr>
          <w:t xml:space="preserve">Jessica </w:t>
        </w:r>
        <w:proofErr w:type="spellStart"/>
        <w:r>
          <w:rPr>
            <w:rStyle w:val="Hyperlink"/>
            <w:rFonts w:ascii="Roboto" w:hAnsi="Roboto"/>
            <w:color w:val="1CABE2"/>
            <w:u w:val="none"/>
          </w:rPr>
          <w:t>Bergmann</w:t>
        </w:r>
        <w:proofErr w:type="spellEnd"/>
      </w:hyperlink>
      <w:r>
        <w:rPr>
          <w:rFonts w:ascii="Roboto" w:hAnsi="Roboto"/>
          <w:color w:val="333333"/>
        </w:rPr>
        <w:t xml:space="preserve"> y </w:t>
      </w:r>
      <w:hyperlink r:id="rId8" w:tgtFrame="_blank" w:history="1">
        <w:r>
          <w:rPr>
            <w:rStyle w:val="Hyperlink"/>
            <w:rFonts w:ascii="Roboto" w:hAnsi="Roboto"/>
            <w:color w:val="1CABE2"/>
            <w:u w:val="none"/>
          </w:rPr>
          <w:t>Renaud Comba</w:t>
        </w:r>
      </w:hyperlink>
    </w:p>
    <w:p w14:paraId="49A538DA" w14:textId="5DE80250" w:rsidR="008C1FF4" w:rsidRDefault="00B35C81" w:rsidP="008C1FF4">
      <w:pPr>
        <w:pStyle w:val="NormalWeb"/>
        <w:shd w:val="clear" w:color="auto" w:fill="FFFFFF"/>
        <w:spacing w:before="0" w:beforeAutospacing="0" w:after="150" w:afterAutospacing="0" w:line="345" w:lineRule="atLeast"/>
        <w:jc w:val="center"/>
        <w:rPr>
          <w:rFonts w:ascii="Roboto" w:hAnsi="Roboto"/>
          <w:color w:val="333333"/>
        </w:rPr>
      </w:pPr>
      <w:r>
        <w:rPr>
          <w:rFonts w:ascii="Roboto" w:hAnsi="Roboto"/>
          <w:color w:val="333333"/>
        </w:rPr>
        <w:t xml:space="preserve"> </w:t>
      </w:r>
    </w:p>
    <w:p w14:paraId="6282D7B6" w14:textId="2C71340D"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La </w:t>
      </w:r>
      <w:hyperlink r:id="rId9" w:tgtFrame="_blank" w:history="1">
        <w:r>
          <w:rPr>
            <w:rStyle w:val="Hyperlink"/>
            <w:rFonts w:ascii="Roboto" w:hAnsi="Roboto"/>
            <w:color w:val="1CABE2"/>
            <w:u w:val="none"/>
          </w:rPr>
          <w:t xml:space="preserve">investigación de Data </w:t>
        </w:r>
        <w:proofErr w:type="spellStart"/>
        <w:r>
          <w:rPr>
            <w:rStyle w:val="Hyperlink"/>
            <w:rFonts w:ascii="Roboto" w:hAnsi="Roboto"/>
            <w:color w:val="1CABE2"/>
            <w:u w:val="none"/>
          </w:rPr>
          <w:t>Must</w:t>
        </w:r>
        <w:proofErr w:type="spellEnd"/>
        <w:r>
          <w:rPr>
            <w:rStyle w:val="Hyperlink"/>
            <w:rFonts w:ascii="Roboto" w:hAnsi="Roboto"/>
            <w:color w:val="1CABE2"/>
            <w:u w:val="none"/>
          </w:rPr>
          <w:t xml:space="preserve"> </w:t>
        </w:r>
        <w:proofErr w:type="spellStart"/>
        <w:r>
          <w:rPr>
            <w:rStyle w:val="Hyperlink"/>
            <w:rFonts w:ascii="Roboto" w:hAnsi="Roboto"/>
            <w:color w:val="1CABE2"/>
            <w:u w:val="none"/>
          </w:rPr>
          <w:t>Speak</w:t>
        </w:r>
        <w:proofErr w:type="spellEnd"/>
        <w:r>
          <w:rPr>
            <w:rStyle w:val="Hyperlink"/>
            <w:rFonts w:ascii="Roboto" w:hAnsi="Roboto"/>
            <w:color w:val="1CABE2"/>
            <w:u w:val="none"/>
          </w:rPr>
          <w:t xml:space="preserve"> (DMS) Positive </w:t>
        </w:r>
        <w:proofErr w:type="spellStart"/>
        <w:r>
          <w:rPr>
            <w:rStyle w:val="Hyperlink"/>
            <w:rFonts w:ascii="Roboto" w:hAnsi="Roboto"/>
            <w:color w:val="1CABE2"/>
            <w:u w:val="none"/>
          </w:rPr>
          <w:t>Deviance</w:t>
        </w:r>
        <w:proofErr w:type="spellEnd"/>
        <w:r>
          <w:rPr>
            <w:rStyle w:val="Hyperlink"/>
            <w:rFonts w:ascii="Roboto" w:hAnsi="Roboto"/>
            <w:color w:val="1CABE2"/>
            <w:u w:val="none"/>
          </w:rPr>
          <w:t xml:space="preserve"> (Desviación Positiva de Los Datos Deben Hablar</w:t>
        </w:r>
      </w:hyperlink>
      <w:r>
        <w:rPr>
          <w:rFonts w:ascii="Roboto" w:hAnsi="Roboto"/>
          <w:color w:val="333333"/>
        </w:rPr>
        <w:t xml:space="preserve"> cree que los agentes de cambio más importantes en el sector de la educación son las partes interesadas a nivel de </w:t>
      </w:r>
      <w:r w:rsidR="00E96638">
        <w:rPr>
          <w:rFonts w:ascii="Roboto" w:hAnsi="Roboto"/>
          <w:color w:val="333333"/>
        </w:rPr>
        <w:t>comunitario</w:t>
      </w:r>
      <w:r>
        <w:rPr>
          <w:rFonts w:ascii="Roboto" w:hAnsi="Roboto"/>
          <w:color w:val="333333"/>
        </w:rPr>
        <w:t xml:space="preserve">, y que estos deberían estar a la vanguardia para abordar los desafíos educativos dentro de sus contextos. Como tal, el equipo de DMS </w:t>
      </w:r>
      <w:proofErr w:type="spellStart"/>
      <w:r>
        <w:rPr>
          <w:rFonts w:ascii="Roboto" w:hAnsi="Roboto"/>
          <w:color w:val="333333"/>
        </w:rPr>
        <w:t>co-crea</w:t>
      </w:r>
      <w:proofErr w:type="spellEnd"/>
      <w:r>
        <w:rPr>
          <w:rFonts w:ascii="Roboto" w:hAnsi="Roboto"/>
          <w:color w:val="333333"/>
        </w:rPr>
        <w:t xml:space="preserve"> nuestra investigación con las partes interesadas y los socios, trabajando juntos en el diseño de la investigación, la recopilación y el análisis de datos y la captación de evidencia. </w:t>
      </w:r>
    </w:p>
    <w:p w14:paraId="509A5D1F" w14:textId="103B4DAD" w:rsidR="008C1FF4" w:rsidRDefault="00B35C81"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 </w:t>
      </w:r>
    </w:p>
    <w:p w14:paraId="2FAB5661" w14:textId="02B63515"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Los enfoques de investigación tradicionales a menudo han considerado a las partes interesadas clave solo como usuarios finales del conocimiento. Cada vez que se diseña una investigación, se recopilan y analizan datos y se difunden los hallazgos, se consulta a las partes interesadas en algunas etapas, pero generalmente se las separa de todo el proceso de investigación. A veces, los investigadores solo piden a las partes interesadas que participen en una reunión al comienzo de un proyecto de investigación para presentar el diseño y la metodología, y al final para compartir hallazgos clave. Estas prácticas de investigación dan como resultado no solo una falta de participación de las partes interesadas, sino también un mar de conocimientos infrautilizados.  </w:t>
      </w:r>
    </w:p>
    <w:p w14:paraId="1B96A3FB" w14:textId="7BC62924"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Más recientemente, la </w:t>
      </w:r>
      <w:proofErr w:type="spellStart"/>
      <w:r>
        <w:rPr>
          <w:rFonts w:ascii="Roboto" w:hAnsi="Roboto"/>
          <w:color w:val="333333"/>
        </w:rPr>
        <w:t>co-creación</w:t>
      </w:r>
      <w:proofErr w:type="spellEnd"/>
      <w:r>
        <w:rPr>
          <w:rFonts w:ascii="Roboto" w:hAnsi="Roboto"/>
          <w:color w:val="333333"/>
        </w:rPr>
        <w:t xml:space="preserve"> significativa ha ganado prominencia como enfoque de investigación por razones éticas, de impacto y de sostenibilidad. Con raíces directas en los enfoques de investigación participativa, el principio central de la creación conjunta de investigación es involucrar a las partes interesadas en calidad de copropietarios de la investigación. En lugar de ser solo usuarios finales, las partes interesadas ahora son socios activos y justos. El equipo de DMS trabaja con las partes interesadas en la educación local y nacional a lo largo de la experiencia de investigación con propósitos claramente definidos. </w:t>
      </w:r>
    </w:p>
    <w:p w14:paraId="7D1DA328" w14:textId="1B1CD5D4"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Desde el diseño de la investigación hasta la adopción y el impacto de la investigación, ¿cómo se puede </w:t>
      </w:r>
      <w:proofErr w:type="spellStart"/>
      <w:r>
        <w:rPr>
          <w:rFonts w:ascii="Roboto" w:hAnsi="Roboto"/>
          <w:color w:val="333333"/>
        </w:rPr>
        <w:t>co</w:t>
      </w:r>
      <w:r w:rsidR="00615453">
        <w:rPr>
          <w:rFonts w:ascii="Roboto" w:hAnsi="Roboto"/>
          <w:color w:val="333333"/>
        </w:rPr>
        <w:t>-</w:t>
      </w:r>
      <w:r>
        <w:rPr>
          <w:rFonts w:ascii="Roboto" w:hAnsi="Roboto"/>
          <w:color w:val="333333"/>
        </w:rPr>
        <w:t>crear</w:t>
      </w:r>
      <w:proofErr w:type="spellEnd"/>
      <w:r>
        <w:rPr>
          <w:rFonts w:ascii="Roboto" w:hAnsi="Roboto"/>
          <w:color w:val="333333"/>
        </w:rPr>
        <w:t xml:space="preserve"> la investigación educativa? A </w:t>
      </w:r>
      <w:proofErr w:type="gramStart"/>
      <w:r>
        <w:rPr>
          <w:rFonts w:ascii="Roboto" w:hAnsi="Roboto"/>
          <w:color w:val="333333"/>
        </w:rPr>
        <w:t>continuación</w:t>
      </w:r>
      <w:proofErr w:type="gramEnd"/>
      <w:r>
        <w:rPr>
          <w:rFonts w:ascii="Roboto" w:hAnsi="Roboto"/>
          <w:color w:val="333333"/>
        </w:rPr>
        <w:t xml:space="preserve"> se muestra el enfoque de cinco pasos de la investigación DMS: </w:t>
      </w:r>
    </w:p>
    <w:p w14:paraId="73660AA9" w14:textId="100D3A6E" w:rsidR="008C1FF4" w:rsidRDefault="008C1FF4" w:rsidP="002D5CE2">
      <w:pPr>
        <w:pStyle w:val="Heading2"/>
        <w:shd w:val="clear" w:color="auto" w:fill="FFFFFF"/>
        <w:spacing w:before="300" w:after="150" w:line="615" w:lineRule="atLeast"/>
        <w:jc w:val="both"/>
        <w:rPr>
          <w:rFonts w:ascii="inherit" w:hAnsi="inherit"/>
          <w:color w:val="1CABE2"/>
          <w:sz w:val="45"/>
          <w:szCs w:val="45"/>
        </w:rPr>
      </w:pPr>
      <w:r>
        <w:rPr>
          <w:rFonts w:ascii="inherit" w:hAnsi="inherit"/>
          <w:b/>
          <w:bCs/>
          <w:color w:val="1CABE2"/>
          <w:sz w:val="45"/>
          <w:szCs w:val="45"/>
        </w:rPr>
        <w:lastRenderedPageBreak/>
        <w:t xml:space="preserve">1. Identificación de promotores de DMS provenientes de todos los niveles </w:t>
      </w:r>
    </w:p>
    <w:p w14:paraId="2CB3FBD1" w14:textId="475722F3"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Los promotores en el sector de la educación son aquellos que aspiran a efectuar el cambio, tienen la capacidad y las habilidades técnicas pertinentes y tienen cierto nivel de autoridad, tales como el personal del Ministerio de Educación (</w:t>
      </w:r>
      <w:proofErr w:type="spellStart"/>
      <w:r>
        <w:rPr>
          <w:rFonts w:ascii="Roboto" w:hAnsi="Roboto"/>
          <w:color w:val="333333"/>
        </w:rPr>
        <w:t>MdE</w:t>
      </w:r>
      <w:proofErr w:type="spellEnd"/>
      <w:r>
        <w:rPr>
          <w:rFonts w:ascii="Roboto" w:hAnsi="Roboto"/>
          <w:color w:val="333333"/>
        </w:rPr>
        <w:t xml:space="preserve">) y los representantes del sector del desarrollo. La investigación de DMS identifica e involucra a los promotores activamente a lo largo de la experiencia de investigación. Involucrar a los promotores desde el principio es particularmente importante para garantizar la aceptación de parte de las partes interesadas a nivel </w:t>
      </w:r>
      <w:r w:rsidR="00857939">
        <w:rPr>
          <w:rFonts w:ascii="Roboto" w:hAnsi="Roboto"/>
          <w:color w:val="333333"/>
        </w:rPr>
        <w:t>nacional</w:t>
      </w:r>
      <w:r>
        <w:rPr>
          <w:rFonts w:ascii="Roboto" w:hAnsi="Roboto"/>
          <w:color w:val="333333"/>
        </w:rPr>
        <w:t xml:space="preserve">. Para la investigación de DMS, los promotores son clave en el desarrollo de los grupos de trabajo técnicos y consultivos de DMS. </w:t>
      </w:r>
    </w:p>
    <w:p w14:paraId="35FCECF6" w14:textId="2690A1AF" w:rsidR="008C1FF4" w:rsidRDefault="008C1FF4" w:rsidP="002D5CE2">
      <w:pPr>
        <w:pStyle w:val="Heading2"/>
        <w:shd w:val="clear" w:color="auto" w:fill="FFFFFF"/>
        <w:spacing w:before="300" w:after="150" w:line="615" w:lineRule="atLeast"/>
        <w:jc w:val="both"/>
        <w:rPr>
          <w:rFonts w:ascii="inherit" w:hAnsi="inherit"/>
          <w:color w:val="1CABE2"/>
          <w:sz w:val="45"/>
          <w:szCs w:val="45"/>
        </w:rPr>
      </w:pPr>
      <w:r>
        <w:rPr>
          <w:rFonts w:ascii="inherit" w:hAnsi="inherit"/>
          <w:b/>
          <w:bCs/>
          <w:color w:val="1CABE2"/>
          <w:sz w:val="45"/>
          <w:szCs w:val="45"/>
        </w:rPr>
        <w:t xml:space="preserve">2. Formación de grupos de trabajo consultivos y técnicos. </w:t>
      </w:r>
    </w:p>
    <w:p w14:paraId="431B63D9" w14:textId="30976815"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Los grupos de trabajo consultivos y técnicos (TWG) son dos grupos distintos de partes interesadas y socios a nivel </w:t>
      </w:r>
      <w:r w:rsidR="000A384C">
        <w:rPr>
          <w:rFonts w:ascii="Roboto" w:hAnsi="Roboto"/>
          <w:color w:val="333333"/>
        </w:rPr>
        <w:t>nacional</w:t>
      </w:r>
      <w:r>
        <w:rPr>
          <w:rFonts w:ascii="Roboto" w:hAnsi="Roboto"/>
          <w:color w:val="333333"/>
        </w:rPr>
        <w:t xml:space="preserve">. El grupo de trabajo consultivo generalmente está compuesto por 20 a 25 miembros, incluyendo los responsables de la toma de decisiones y expertos del Ministerio de Educación, partes interesadas a nivel escolar, socios para el desarrollo y académicos locales. Este grupo actúa como un comité directivo que brinda aportes de alto nivel al diseño de la investigación, las metodologías, los cronogramas y las estrategias de aceptación. El TWG es un grupo </w:t>
      </w:r>
      <w:r w:rsidR="0010490F">
        <w:rPr>
          <w:rFonts w:ascii="Roboto" w:hAnsi="Roboto"/>
          <w:color w:val="333333"/>
        </w:rPr>
        <w:t>más pequeño y especializado</w:t>
      </w:r>
      <w:r>
        <w:rPr>
          <w:rFonts w:ascii="Roboto" w:hAnsi="Roboto"/>
          <w:color w:val="333333"/>
        </w:rPr>
        <w:t xml:space="preserve"> compuesto por expertos en monitoreo y evaluación y por estadísticos del Ministerio de Educación y sus agencias. Este equipo técnico está involucrado en la implementación diaria de la investigación, incluyendo la recopilación de datos, la combinación y el análisis de datos, así como la redacción de informes. </w:t>
      </w:r>
    </w:p>
    <w:p w14:paraId="35358F77" w14:textId="40299F6D" w:rsidR="008C1FF4" w:rsidRDefault="008C1FF4" w:rsidP="002D5CE2">
      <w:pPr>
        <w:pStyle w:val="Heading2"/>
        <w:spacing w:before="300" w:after="150" w:line="615" w:lineRule="atLeast"/>
        <w:jc w:val="both"/>
        <w:rPr>
          <w:rFonts w:ascii="inherit" w:hAnsi="inherit"/>
          <w:color w:val="1CABE2"/>
          <w:sz w:val="45"/>
          <w:szCs w:val="45"/>
        </w:rPr>
      </w:pPr>
      <w:r>
        <w:rPr>
          <w:rFonts w:ascii="inherit" w:hAnsi="inherit"/>
          <w:b/>
          <w:bCs/>
          <w:color w:val="1CABE2"/>
          <w:sz w:val="45"/>
          <w:szCs w:val="45"/>
        </w:rPr>
        <w:t xml:space="preserve">3. Diseño colaborativo e implementación de herramientas de recopilación de datos con partes interesadas a nivel escolar </w:t>
      </w:r>
    </w:p>
    <w:p w14:paraId="62CDAA4F" w14:textId="59C5E592"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En todos los países socios participantes de la investigación de DMS, las herramientas de investigación se desarrollan </w:t>
      </w:r>
      <w:proofErr w:type="gramStart"/>
      <w:r>
        <w:rPr>
          <w:rFonts w:ascii="Roboto" w:hAnsi="Roboto"/>
          <w:color w:val="333333"/>
        </w:rPr>
        <w:t>conjuntamente con</w:t>
      </w:r>
      <w:proofErr w:type="gramEnd"/>
      <w:r>
        <w:rPr>
          <w:rFonts w:ascii="Roboto" w:hAnsi="Roboto"/>
          <w:color w:val="333333"/>
        </w:rPr>
        <w:t xml:space="preserve"> las partes interesadas clave. Esta estrategia de </w:t>
      </w:r>
      <w:proofErr w:type="spellStart"/>
      <w:r>
        <w:rPr>
          <w:rFonts w:ascii="Roboto" w:hAnsi="Roboto"/>
          <w:color w:val="333333"/>
        </w:rPr>
        <w:t>co</w:t>
      </w:r>
      <w:r w:rsidR="00235833">
        <w:rPr>
          <w:rFonts w:ascii="Roboto" w:hAnsi="Roboto"/>
          <w:color w:val="333333"/>
        </w:rPr>
        <w:t>-</w:t>
      </w:r>
      <w:r>
        <w:rPr>
          <w:rFonts w:ascii="Roboto" w:hAnsi="Roboto"/>
          <w:color w:val="333333"/>
        </w:rPr>
        <w:t>creación</w:t>
      </w:r>
      <w:proofErr w:type="spellEnd"/>
      <w:r>
        <w:rPr>
          <w:rFonts w:ascii="Roboto" w:hAnsi="Roboto"/>
          <w:color w:val="333333"/>
        </w:rPr>
        <w:t xml:space="preserve"> coloca a las partes interesadas a nivel escolar (por ejemplo, </w:t>
      </w:r>
      <w:r>
        <w:rPr>
          <w:rFonts w:ascii="Roboto" w:hAnsi="Roboto"/>
          <w:color w:val="333333"/>
        </w:rPr>
        <w:lastRenderedPageBreak/>
        <w:t xml:space="preserve">líderes escolares, maestros y miembros de la comunidad), los implementadores de programas y políticas educativas, en el centro de la generación de evidencia. Por ejemplo, representantes de varios Ministerios de Educación y Deporte de la República Democrática Popular Lao y de la </w:t>
      </w:r>
      <w:proofErr w:type="spellStart"/>
      <w:r>
        <w:rPr>
          <w:rFonts w:ascii="Roboto" w:hAnsi="Roboto"/>
          <w:color w:val="333333"/>
        </w:rPr>
        <w:t>National</w:t>
      </w:r>
      <w:proofErr w:type="spellEnd"/>
      <w:r>
        <w:rPr>
          <w:rFonts w:ascii="Roboto" w:hAnsi="Roboto"/>
          <w:color w:val="333333"/>
        </w:rPr>
        <w:t xml:space="preserve"> </w:t>
      </w:r>
      <w:proofErr w:type="spellStart"/>
      <w:r>
        <w:rPr>
          <w:rFonts w:ascii="Roboto" w:hAnsi="Roboto"/>
          <w:color w:val="333333"/>
        </w:rPr>
        <w:t>University</w:t>
      </w:r>
      <w:proofErr w:type="spellEnd"/>
      <w:r>
        <w:rPr>
          <w:rFonts w:ascii="Roboto" w:hAnsi="Roboto"/>
          <w:color w:val="333333"/>
        </w:rPr>
        <w:t xml:space="preserve"> </w:t>
      </w:r>
      <w:proofErr w:type="spellStart"/>
      <w:r>
        <w:rPr>
          <w:rFonts w:ascii="Roboto" w:hAnsi="Roboto"/>
          <w:color w:val="333333"/>
        </w:rPr>
        <w:t>of</w:t>
      </w:r>
      <w:proofErr w:type="spellEnd"/>
      <w:r>
        <w:rPr>
          <w:rFonts w:ascii="Roboto" w:hAnsi="Roboto"/>
          <w:color w:val="333333"/>
        </w:rPr>
        <w:t xml:space="preserve"> Laos diseñaron y revisaron las preguntas, metodologías e instrumentos de investigación de DMS. Adicionalmente, en lugar de contratar encuestadores externos, alrededor de </w:t>
      </w:r>
      <w:hyperlink r:id="rId10" w:tgtFrame="_blank" w:history="1">
        <w:r>
          <w:rPr>
            <w:rStyle w:val="Hyperlink"/>
            <w:rFonts w:ascii="Roboto" w:hAnsi="Roboto"/>
            <w:color w:val="1CABE2"/>
          </w:rPr>
          <w:t>60 maestros convertidos en investigadores recopilaron datos de escuelas de todo el país</w:t>
        </w:r>
      </w:hyperlink>
      <w:r>
        <w:rPr>
          <w:rFonts w:ascii="Roboto" w:hAnsi="Roboto"/>
          <w:color w:val="333333"/>
        </w:rPr>
        <w:t xml:space="preserve">, lo que puso a los socios laosianos en el asiento del piloto. </w:t>
      </w:r>
    </w:p>
    <w:p w14:paraId="158E546D" w14:textId="025E1CD4" w:rsidR="008C1FF4" w:rsidRDefault="008C1FF4" w:rsidP="002D5CE2">
      <w:pPr>
        <w:pStyle w:val="NormalWeb"/>
        <w:shd w:val="clear" w:color="auto" w:fill="FFFFFF"/>
        <w:spacing w:before="0" w:beforeAutospacing="0" w:after="150" w:afterAutospacing="0" w:line="345" w:lineRule="atLeast"/>
        <w:jc w:val="center"/>
        <w:rPr>
          <w:rFonts w:ascii="Roboto" w:hAnsi="Roboto"/>
          <w:color w:val="333333"/>
        </w:rPr>
      </w:pPr>
      <w:r>
        <w:rPr>
          <w:rStyle w:val="Emphasis"/>
          <w:rFonts w:ascii="Roboto" w:hAnsi="Roboto"/>
          <w:color w:val="3366FF"/>
          <w:sz w:val="36"/>
          <w:szCs w:val="36"/>
        </w:rPr>
        <w:t>“Creo que es importante que los docentes se involucren en los estudios sobre educación porque les ayudará a comprender mejor los diferentes desafíos para una educación efectiva y ayudará a identificar soluciones”.</w:t>
      </w:r>
    </w:p>
    <w:p w14:paraId="10499F82" w14:textId="2B82389F" w:rsidR="008C1FF4" w:rsidRDefault="008C1FF4" w:rsidP="002D5CE2">
      <w:pPr>
        <w:pStyle w:val="NormalWeb"/>
        <w:shd w:val="clear" w:color="auto" w:fill="FFFFFF"/>
        <w:spacing w:before="0" w:beforeAutospacing="0" w:after="0" w:afterAutospacing="0" w:line="345" w:lineRule="atLeast"/>
        <w:jc w:val="both"/>
        <w:rPr>
          <w:rFonts w:ascii="Roboto" w:hAnsi="Roboto"/>
          <w:color w:val="333333"/>
        </w:rPr>
      </w:pPr>
      <w:r>
        <w:rPr>
          <w:rFonts w:ascii="Roboto" w:hAnsi="Roboto"/>
          <w:color w:val="333333"/>
        </w:rPr>
        <w:t>– Un futuro docente</w:t>
      </w:r>
    </w:p>
    <w:p w14:paraId="4421E108" w14:textId="77777777" w:rsidR="008C1FF4" w:rsidRDefault="008C1FF4" w:rsidP="002D5CE2">
      <w:pPr>
        <w:pStyle w:val="Heading2"/>
        <w:shd w:val="clear" w:color="auto" w:fill="FFFFFF"/>
        <w:spacing w:before="300" w:after="150" w:line="615" w:lineRule="atLeast"/>
        <w:jc w:val="both"/>
        <w:rPr>
          <w:rFonts w:ascii="Roboto" w:hAnsi="Roboto"/>
          <w:color w:val="1CABE2"/>
          <w:sz w:val="45"/>
          <w:szCs w:val="45"/>
        </w:rPr>
      </w:pPr>
      <w:r>
        <w:rPr>
          <w:rFonts w:ascii="Roboto" w:hAnsi="Roboto"/>
          <w:b/>
          <w:bCs/>
          <w:color w:val="1CABE2"/>
          <w:sz w:val="45"/>
          <w:szCs w:val="45"/>
        </w:rPr>
        <w:t>4. Análisis de datos con partes interesadas clave</w:t>
      </w:r>
    </w:p>
    <w:p w14:paraId="62C2D8F4" w14:textId="1E0C5BBE"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Los investigadores de TWG y DMS preparan, fusionan y analizan conjuntos de datos existentes para identificar escuelas excepcionales (es decir, escuelas con desviación positiva) en contextos determinados. Las sesiones técnicas de creación conjunta ayudan a los investigadores de DMS a comprender mejor los contextos específicos de cada país. También fortalecen la capacidad de investigación técnica de los miembros del TWG, fomentando una relación simbiótica en la que ambos aprendemos unos de otros. Durante una sesión de creación conjunta en Madagascar, los miembros del TWG crearon sus propios códigos estadísticos para analizar conjuntos de datos más a fondo. Como resultado de las sesiones de </w:t>
      </w:r>
      <w:proofErr w:type="spellStart"/>
      <w:r>
        <w:rPr>
          <w:rFonts w:ascii="Roboto" w:hAnsi="Roboto"/>
          <w:color w:val="333333"/>
        </w:rPr>
        <w:t>co-creación</w:t>
      </w:r>
      <w:proofErr w:type="spellEnd"/>
      <w:r>
        <w:rPr>
          <w:rFonts w:ascii="Roboto" w:hAnsi="Roboto"/>
          <w:color w:val="333333"/>
        </w:rPr>
        <w:t xml:space="preserve">, el Ministerio de Educación de Ghana incorporó los hallazgos del análisis de la etapa 1 de la investigación de DMS sobre los factores asociados con el rendimiento escolar al solicitar la subvención de Capacidad del Sistema de la </w:t>
      </w:r>
      <w:hyperlink r:id="rId11" w:tgtFrame="_blank" w:history="1">
        <w:r>
          <w:rPr>
            <w:rStyle w:val="Hyperlink"/>
            <w:rFonts w:ascii="Roboto" w:hAnsi="Roboto"/>
            <w:color w:val="1CABE2"/>
          </w:rPr>
          <w:t>Alianza Global para la Educación</w:t>
        </w:r>
      </w:hyperlink>
      <w:r>
        <w:rPr>
          <w:rFonts w:ascii="Roboto" w:hAnsi="Roboto"/>
          <w:color w:val="333333"/>
        </w:rPr>
        <w:t xml:space="preserve">(GPE). </w:t>
      </w:r>
    </w:p>
    <w:p w14:paraId="42A52250" w14:textId="3245C640" w:rsidR="008C1FF4" w:rsidRDefault="008C1FF4" w:rsidP="002D5CE2">
      <w:pPr>
        <w:pStyle w:val="Heading2"/>
        <w:shd w:val="clear" w:color="auto" w:fill="FFFFFF"/>
        <w:spacing w:before="300" w:after="150" w:line="615" w:lineRule="atLeast"/>
        <w:jc w:val="both"/>
        <w:rPr>
          <w:rFonts w:ascii="inherit" w:hAnsi="inherit"/>
          <w:color w:val="1CABE2"/>
          <w:sz w:val="45"/>
          <w:szCs w:val="45"/>
        </w:rPr>
      </w:pPr>
      <w:r>
        <w:rPr>
          <w:rFonts w:ascii="inherit" w:hAnsi="inherit"/>
          <w:b/>
          <w:bCs/>
          <w:color w:val="1CABE2"/>
          <w:sz w:val="45"/>
          <w:szCs w:val="45"/>
        </w:rPr>
        <w:lastRenderedPageBreak/>
        <w:t xml:space="preserve">5. Desarrollo de resultados de investigación y estrategias de difusión con partes interesadas del país </w:t>
      </w:r>
    </w:p>
    <w:p w14:paraId="54222882" w14:textId="7A840316"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Los resultados de la investigación de DMS se desarrollan </w:t>
      </w:r>
      <w:proofErr w:type="gramStart"/>
      <w:r>
        <w:rPr>
          <w:rFonts w:ascii="Roboto" w:hAnsi="Roboto"/>
          <w:color w:val="333333"/>
        </w:rPr>
        <w:t>conjuntamente con</w:t>
      </w:r>
      <w:proofErr w:type="gramEnd"/>
      <w:r>
        <w:rPr>
          <w:rFonts w:ascii="Roboto" w:hAnsi="Roboto"/>
          <w:color w:val="333333"/>
        </w:rPr>
        <w:t xml:space="preserve"> el Ministerio de Educación y las partes interesadas del país. Debido a la demanda de resultados de investigación contextualizados, los investigadores de DMS han priorizado la producción de resultados en formatos fácilmente digeribles (por ejemplo, resúmenes de políticas temáticas, videos centrados en individuos y podcasts). En Togo, los hallazgos del análisis de la etapa 1 de la investigación del DMS se incorporaron en un </w:t>
      </w:r>
      <w:hyperlink r:id="rId12" w:tgtFrame="_blank" w:history="1">
        <w:r>
          <w:rPr>
            <w:rStyle w:val="Hyperlink"/>
            <w:rFonts w:ascii="Roboto" w:hAnsi="Roboto"/>
            <w:color w:val="1CABE2"/>
          </w:rPr>
          <w:t>informe y tres resúmenes temáticos de políticas en francés</w:t>
        </w:r>
      </w:hyperlink>
      <w:r>
        <w:rPr>
          <w:rFonts w:ascii="Roboto" w:hAnsi="Roboto"/>
          <w:color w:val="333333"/>
        </w:rPr>
        <w:t>.</w:t>
      </w:r>
    </w:p>
    <w:p w14:paraId="3D78EE13" w14:textId="77777777"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Existe una falta de comprensión universal de lo que realmente es la creación conjunta de investigación y cómo puede verse en la práctica. Históricamente, la </w:t>
      </w:r>
      <w:proofErr w:type="spellStart"/>
      <w:r>
        <w:rPr>
          <w:rFonts w:ascii="Roboto" w:hAnsi="Roboto"/>
          <w:color w:val="333333"/>
        </w:rPr>
        <w:t>co-creación</w:t>
      </w:r>
      <w:proofErr w:type="spellEnd"/>
      <w:r>
        <w:rPr>
          <w:rFonts w:ascii="Roboto" w:hAnsi="Roboto"/>
          <w:color w:val="333333"/>
        </w:rPr>
        <w:t xml:space="preserve"> se ha utilizado de manera vaga para referirse a cualquier forma de contextualización de la investigación y participación de las partes interesadas. El equipo de investigación, los socios y las partes interesadas clave de DMS trabajan juntos para dar cuenta de la diversidad de conocimientos y capacidades, y adaptarse a los contextos locales, las culturas y los panoramas políticos. Este es un componente crítico para la </w:t>
      </w:r>
      <w:proofErr w:type="spellStart"/>
      <w:r>
        <w:rPr>
          <w:rFonts w:ascii="Roboto" w:hAnsi="Roboto"/>
          <w:color w:val="333333"/>
        </w:rPr>
        <w:t>co-creación</w:t>
      </w:r>
      <w:proofErr w:type="spellEnd"/>
      <w:r>
        <w:rPr>
          <w:rFonts w:ascii="Roboto" w:hAnsi="Roboto"/>
          <w:color w:val="333333"/>
        </w:rPr>
        <w:t xml:space="preserve"> de investigación significativa e impactante.</w:t>
      </w:r>
    </w:p>
    <w:p w14:paraId="6352297D" w14:textId="41DD130D" w:rsidR="008C1FF4" w:rsidRDefault="00B35C81"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 </w:t>
      </w:r>
    </w:p>
    <w:p w14:paraId="620E9166" w14:textId="77777777" w:rsidR="008C1FF4" w:rsidRDefault="008C1FF4" w:rsidP="002D5CE2">
      <w:pPr>
        <w:pStyle w:val="Heading4"/>
        <w:shd w:val="clear" w:color="auto" w:fill="FFFFFF"/>
        <w:spacing w:before="150" w:after="150" w:line="390" w:lineRule="atLeast"/>
        <w:jc w:val="center"/>
        <w:rPr>
          <w:rFonts w:ascii="inherit" w:hAnsi="inherit"/>
          <w:color w:val="333333"/>
          <w:sz w:val="33"/>
          <w:szCs w:val="33"/>
        </w:rPr>
      </w:pPr>
      <w:r>
        <w:rPr>
          <w:rFonts w:ascii="inherit" w:hAnsi="inherit"/>
          <w:b/>
          <w:bCs/>
          <w:color w:val="333333"/>
          <w:sz w:val="33"/>
          <w:szCs w:val="33"/>
        </w:rPr>
        <w:t>Este blog es el primero de una serie de tres partes que comparte el valor de priorizar los enfoques de creación conjunta al diseñar e implementar la investigación educativa. El segundo blog presentará los desafíos clave del enfoque de creación conjunta de investigación de DMS, y el tercero destacará el impacto observable y las lecciones aprendidas. ¡Manténganse al tanto!</w:t>
      </w:r>
    </w:p>
    <w:p w14:paraId="5BC405C0" w14:textId="6CD57EFA"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La investigación de DMS Positive </w:t>
      </w:r>
      <w:proofErr w:type="spellStart"/>
      <w:r>
        <w:rPr>
          <w:rFonts w:ascii="Roboto" w:hAnsi="Roboto"/>
          <w:color w:val="333333"/>
        </w:rPr>
        <w:t>Deviance</w:t>
      </w:r>
      <w:proofErr w:type="spellEnd"/>
      <w:r>
        <w:rPr>
          <w:rFonts w:ascii="Roboto" w:hAnsi="Roboto"/>
          <w:color w:val="333333"/>
        </w:rPr>
        <w:t xml:space="preserve"> busca mitigar la </w:t>
      </w:r>
      <w:hyperlink r:id="rId13" w:tgtFrame="_blank" w:history="1">
        <w:r>
          <w:rPr>
            <w:rStyle w:val="Hyperlink"/>
            <w:rFonts w:ascii="Roboto" w:hAnsi="Roboto"/>
            <w:color w:val="1CABE2"/>
            <w:u w:val="none"/>
          </w:rPr>
          <w:t>crisis de aprendizaje</w:t>
        </w:r>
      </w:hyperlink>
      <w:r>
        <w:rPr>
          <w:rFonts w:ascii="Roboto" w:hAnsi="Roboto"/>
          <w:color w:val="333333"/>
        </w:rPr>
        <w:t xml:space="preserve"> mediante el uso de datos existentes para comprender los comportamientos y prácticas de escuelas excepcionales (es decir, escuelas con desviación positiva). Es </w:t>
      </w:r>
      <w:proofErr w:type="spellStart"/>
      <w:r>
        <w:rPr>
          <w:rFonts w:ascii="Roboto" w:hAnsi="Roboto"/>
          <w:color w:val="333333"/>
        </w:rPr>
        <w:t>co-creada</w:t>
      </w:r>
      <w:proofErr w:type="spellEnd"/>
      <w:r>
        <w:rPr>
          <w:rFonts w:ascii="Roboto" w:hAnsi="Roboto"/>
          <w:color w:val="333333"/>
        </w:rPr>
        <w:t xml:space="preserve"> y </w:t>
      </w:r>
      <w:proofErr w:type="spellStart"/>
      <w:r>
        <w:rPr>
          <w:rFonts w:ascii="Roboto" w:hAnsi="Roboto"/>
          <w:color w:val="333333"/>
        </w:rPr>
        <w:t>co-implementada</w:t>
      </w:r>
      <w:proofErr w:type="spellEnd"/>
      <w:r>
        <w:rPr>
          <w:rFonts w:ascii="Roboto" w:hAnsi="Roboto"/>
          <w:color w:val="333333"/>
        </w:rPr>
        <w:t xml:space="preserve"> con Ministerios de Educación, socios y partes interesadas clave. La investigación de DMS se basa en métodos mixtos y enfoques innovadores (es decir, desviación positiva, ciencias del comportamiento, investigación de implementación y </w:t>
      </w:r>
      <w:r>
        <w:rPr>
          <w:rFonts w:ascii="Roboto" w:hAnsi="Roboto"/>
          <w:color w:val="333333"/>
        </w:rPr>
        <w:lastRenderedPageBreak/>
        <w:t>ciencia de ampliación de la escala) para generar conocimiento y lecciones prácticas sobre 'qué funciona', 'por qué' y 'cómo' para escalar soluciones de base para los formuladores de políticas nacionales y la comunidad internacional más amplia de partes interesadas en la educación.</w:t>
      </w:r>
    </w:p>
    <w:p w14:paraId="0A1D77A3" w14:textId="7A7E73D3" w:rsidR="008C1FF4" w:rsidRDefault="008C1FF4"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La investigación del DMS se implementa actualmente en 14 países: Brasil, Burkina Faso, Chad, Costa de Marfil, Etiopía, Ghana, República Democrática Popular Lao, Madagascar, Malí, Nepal, Níger, República Unida de Tanzania, Togo y Zambia. Es posible gracias a una coalición de donantes: el Intercambio en Conocimiento e Innovación (KIX) de la </w:t>
      </w:r>
      <w:hyperlink r:id="rId14" w:tgtFrame="_blank" w:history="1">
        <w:r>
          <w:rPr>
            <w:rStyle w:val="Hyperlink"/>
            <w:rFonts w:ascii="Roboto" w:hAnsi="Roboto"/>
            <w:color w:val="1CABE2"/>
            <w:u w:val="none"/>
            <w:shd w:val="clear" w:color="auto" w:fill="FFFFFF"/>
          </w:rPr>
          <w:t>Alianza Global para la Educación</w:t>
        </w:r>
      </w:hyperlink>
      <w:r>
        <w:rPr>
          <w:rFonts w:ascii="Roboto" w:hAnsi="Roboto"/>
          <w:color w:val="333333"/>
        </w:rPr>
        <w:t xml:space="preserve"> (GPE) y del </w:t>
      </w:r>
      <w:hyperlink r:id="rId15" w:tgtFrame="_blank" w:history="1">
        <w:r>
          <w:rPr>
            <w:rStyle w:val="Hyperlink"/>
            <w:rFonts w:ascii="Roboto" w:hAnsi="Roboto"/>
            <w:color w:val="1CABE2"/>
            <w:u w:val="none"/>
            <w:shd w:val="clear" w:color="auto" w:fill="FFFFFF"/>
          </w:rPr>
          <w:t>Centro Internacional de Investigaciones para el Desarrollo</w:t>
        </w:r>
      </w:hyperlink>
      <w:r>
        <w:rPr>
          <w:rFonts w:ascii="Roboto" w:hAnsi="Roboto"/>
          <w:color w:val="333333"/>
        </w:rPr>
        <w:t xml:space="preserve"> (IDRC), </w:t>
      </w:r>
      <w:hyperlink r:id="rId16" w:tgtFrame="_blank" w:history="1">
        <w:r>
          <w:rPr>
            <w:rStyle w:val="Hyperlink"/>
            <w:rFonts w:ascii="Roboto" w:hAnsi="Roboto"/>
            <w:color w:val="1CABE2"/>
            <w:u w:val="none"/>
            <w:shd w:val="clear" w:color="auto" w:fill="FFFFFF"/>
          </w:rPr>
          <w:t xml:space="preserve">Hewlett </w:t>
        </w:r>
        <w:proofErr w:type="spellStart"/>
        <w:r>
          <w:rPr>
            <w:rStyle w:val="Hyperlink"/>
            <w:rFonts w:ascii="Roboto" w:hAnsi="Roboto"/>
            <w:color w:val="1CABE2"/>
            <w:u w:val="none"/>
            <w:shd w:val="clear" w:color="auto" w:fill="FFFFFF"/>
          </w:rPr>
          <w:t>Foundation</w:t>
        </w:r>
        <w:proofErr w:type="spellEnd"/>
      </w:hyperlink>
      <w:r>
        <w:rPr>
          <w:rFonts w:ascii="Roboto" w:hAnsi="Roboto"/>
          <w:color w:val="333333"/>
        </w:rPr>
        <w:t xml:space="preserve">, </w:t>
      </w:r>
      <w:hyperlink r:id="rId17" w:tgtFrame="_blank" w:history="1">
        <w:r>
          <w:rPr>
            <w:rStyle w:val="Hyperlink"/>
            <w:rFonts w:ascii="Roboto" w:hAnsi="Roboto"/>
            <w:color w:val="1CABE2"/>
            <w:u w:val="none"/>
            <w:shd w:val="clear" w:color="auto" w:fill="FFFFFF"/>
          </w:rPr>
          <w:t xml:space="preserve">Jacobs </w:t>
        </w:r>
        <w:proofErr w:type="spellStart"/>
        <w:r>
          <w:rPr>
            <w:rStyle w:val="Hyperlink"/>
            <w:rFonts w:ascii="Roboto" w:hAnsi="Roboto"/>
            <w:color w:val="1CABE2"/>
            <w:u w:val="none"/>
            <w:shd w:val="clear" w:color="auto" w:fill="FFFFFF"/>
          </w:rPr>
          <w:t>Foundation</w:t>
        </w:r>
        <w:proofErr w:type="spellEnd"/>
      </w:hyperlink>
      <w:r>
        <w:rPr>
          <w:rFonts w:ascii="Roboto" w:hAnsi="Roboto"/>
          <w:color w:val="333333"/>
        </w:rPr>
        <w:t xml:space="preserve">, la </w:t>
      </w:r>
      <w:hyperlink r:id="rId18" w:tgtFrame="_blank" w:history="1">
        <w:r>
          <w:rPr>
            <w:rStyle w:val="Hyperlink"/>
            <w:rFonts w:ascii="Roboto" w:hAnsi="Roboto"/>
            <w:color w:val="1CABE2"/>
            <w:u w:val="none"/>
            <w:shd w:val="clear" w:color="auto" w:fill="FFFFFF"/>
          </w:rPr>
          <w:t xml:space="preserve">Agencia Noruega de Cooperación para el Desarrollo </w:t>
        </w:r>
      </w:hyperlink>
      <w:r>
        <w:rPr>
          <w:rFonts w:ascii="Roboto" w:hAnsi="Roboto"/>
          <w:color w:val="333333"/>
        </w:rPr>
        <w:t xml:space="preserve"> (</w:t>
      </w:r>
      <w:proofErr w:type="spellStart"/>
      <w:r>
        <w:rPr>
          <w:rFonts w:ascii="Roboto" w:hAnsi="Roboto"/>
          <w:color w:val="333333"/>
        </w:rPr>
        <w:t>Norad</w:t>
      </w:r>
      <w:proofErr w:type="spellEnd"/>
      <w:r>
        <w:rPr>
          <w:rFonts w:ascii="Roboto" w:hAnsi="Roboto"/>
          <w:color w:val="333333"/>
        </w:rPr>
        <w:t xml:space="preserve">), la iniciativa </w:t>
      </w:r>
      <w:hyperlink r:id="rId19" w:tgtFrame="_blank" w:history="1">
        <w:r>
          <w:rPr>
            <w:rStyle w:val="Hyperlink"/>
            <w:rFonts w:ascii="Roboto" w:hAnsi="Roboto"/>
            <w:color w:val="1CABE2"/>
            <w:u w:val="none"/>
            <w:shd w:val="clear" w:color="auto" w:fill="FFFFFF"/>
          </w:rPr>
          <w:t>Schools2030</w:t>
        </w:r>
      </w:hyperlink>
      <w:r>
        <w:rPr>
          <w:rFonts w:ascii="Roboto" w:hAnsi="Roboto"/>
          <w:color w:val="333333"/>
        </w:rPr>
        <w:t xml:space="preserve"> (</w:t>
      </w:r>
      <w:proofErr w:type="spellStart"/>
      <w:r>
        <w:rPr>
          <w:rFonts w:ascii="Roboto" w:hAnsi="Roboto"/>
          <w:color w:val="333333"/>
        </w:rPr>
        <w:t>Aga</w:t>
      </w:r>
      <w:proofErr w:type="spellEnd"/>
      <w:r>
        <w:rPr>
          <w:rFonts w:ascii="Roboto" w:hAnsi="Roboto"/>
          <w:color w:val="333333"/>
        </w:rPr>
        <w:t xml:space="preserve"> Khan </w:t>
      </w:r>
      <w:proofErr w:type="spellStart"/>
      <w:r>
        <w:rPr>
          <w:rFonts w:ascii="Roboto" w:hAnsi="Roboto"/>
          <w:color w:val="333333"/>
        </w:rPr>
        <w:t>Foundation</w:t>
      </w:r>
      <w:proofErr w:type="spellEnd"/>
      <w:r>
        <w:rPr>
          <w:rFonts w:ascii="Roboto" w:hAnsi="Roboto"/>
          <w:color w:val="333333"/>
        </w:rPr>
        <w:t xml:space="preserve">) y recursos internos de la UNICEF. </w:t>
      </w:r>
    </w:p>
    <w:p w14:paraId="2783565F" w14:textId="6FFD892E" w:rsidR="008C1FF4" w:rsidRDefault="00B35C81" w:rsidP="002D5CE2">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 </w:t>
      </w:r>
    </w:p>
    <w:p w14:paraId="3DC2F50B" w14:textId="77777777" w:rsidR="008C1FF4" w:rsidRDefault="008C1FF4" w:rsidP="008C1FF4">
      <w:pPr>
        <w:pStyle w:val="NormalWeb"/>
        <w:shd w:val="clear" w:color="auto" w:fill="FFFFFF"/>
        <w:spacing w:before="0" w:beforeAutospacing="0" w:after="0" w:afterAutospacing="0" w:line="345" w:lineRule="atLeast"/>
        <w:rPr>
          <w:rFonts w:ascii="Roboto" w:hAnsi="Roboto"/>
          <w:color w:val="333333"/>
        </w:rPr>
      </w:pPr>
    </w:p>
    <w:p w14:paraId="76139ABD" w14:textId="77777777" w:rsidR="00207AAA" w:rsidRDefault="00207AAA"/>
    <w:sectPr w:rsidR="00207AAA">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57BC" w14:textId="77777777" w:rsidR="00B35C81" w:rsidRDefault="00B35C81" w:rsidP="00B35C81">
      <w:pPr>
        <w:spacing w:after="0" w:line="240" w:lineRule="auto"/>
      </w:pPr>
      <w:r>
        <w:separator/>
      </w:r>
    </w:p>
  </w:endnote>
  <w:endnote w:type="continuationSeparator" w:id="0">
    <w:p w14:paraId="3F939CD7" w14:textId="77777777" w:rsidR="00B35C81" w:rsidRDefault="00B35C81" w:rsidP="00B3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814000"/>
      <w:docPartObj>
        <w:docPartGallery w:val="Page Numbers (Bottom of Page)"/>
        <w:docPartUnique/>
      </w:docPartObj>
    </w:sdtPr>
    <w:sdtEndPr>
      <w:rPr>
        <w:noProof/>
      </w:rPr>
    </w:sdtEndPr>
    <w:sdtContent>
      <w:p w14:paraId="1FF25EF8" w14:textId="095B2E3E" w:rsidR="00816A01" w:rsidRDefault="00816A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717BD" w14:textId="77777777" w:rsidR="00B35C81" w:rsidRDefault="00B3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55EF" w14:textId="77777777" w:rsidR="00B35C81" w:rsidRDefault="00B35C81" w:rsidP="00B35C81">
      <w:pPr>
        <w:spacing w:after="0" w:line="240" w:lineRule="auto"/>
      </w:pPr>
      <w:r>
        <w:separator/>
      </w:r>
    </w:p>
  </w:footnote>
  <w:footnote w:type="continuationSeparator" w:id="0">
    <w:p w14:paraId="67325546" w14:textId="77777777" w:rsidR="00B35C81" w:rsidRDefault="00B35C81" w:rsidP="00B35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F4"/>
    <w:rsid w:val="00091D98"/>
    <w:rsid w:val="000A384C"/>
    <w:rsid w:val="0010490F"/>
    <w:rsid w:val="00207AAA"/>
    <w:rsid w:val="00235833"/>
    <w:rsid w:val="002D5CE2"/>
    <w:rsid w:val="00417C0F"/>
    <w:rsid w:val="00615453"/>
    <w:rsid w:val="006A3B96"/>
    <w:rsid w:val="00816A01"/>
    <w:rsid w:val="00857939"/>
    <w:rsid w:val="008C1FF4"/>
    <w:rsid w:val="009E30EC"/>
    <w:rsid w:val="00B35C81"/>
    <w:rsid w:val="00E96638"/>
    <w:rsid w:val="00F54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DACD6B"/>
  <w15:chartTrackingRefBased/>
  <w15:docId w15:val="{03843784-EAA7-4752-A3BA-A3A46A8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1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C1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C1F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FF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C1F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C1FF4"/>
    <w:rPr>
      <w:color w:val="0000FF"/>
      <w:u w:val="single"/>
    </w:rPr>
  </w:style>
  <w:style w:type="character" w:customStyle="1" w:styleId="Heading2Char">
    <w:name w:val="Heading 2 Char"/>
    <w:basedOn w:val="DefaultParagraphFont"/>
    <w:link w:val="Heading2"/>
    <w:uiPriority w:val="9"/>
    <w:semiHidden/>
    <w:rsid w:val="008C1FF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C1FF4"/>
    <w:rPr>
      <w:i/>
      <w:iCs/>
    </w:rPr>
  </w:style>
  <w:style w:type="character" w:customStyle="1" w:styleId="Heading4Char">
    <w:name w:val="Heading 4 Char"/>
    <w:basedOn w:val="DefaultParagraphFont"/>
    <w:link w:val="Heading4"/>
    <w:uiPriority w:val="9"/>
    <w:semiHidden/>
    <w:rsid w:val="008C1FF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35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81"/>
  </w:style>
  <w:style w:type="paragraph" w:styleId="Footer">
    <w:name w:val="footer"/>
    <w:basedOn w:val="Normal"/>
    <w:link w:val="FooterChar"/>
    <w:uiPriority w:val="99"/>
    <w:unhideWhenUsed/>
    <w:rsid w:val="00B35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81"/>
  </w:style>
  <w:style w:type="character" w:styleId="FollowedHyperlink">
    <w:name w:val="FollowedHyperlink"/>
    <w:basedOn w:val="DefaultParagraphFont"/>
    <w:uiPriority w:val="99"/>
    <w:semiHidden/>
    <w:unhideWhenUsed/>
    <w:rsid w:val="00F54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86259">
      <w:bodyDiv w:val="1"/>
      <w:marLeft w:val="0"/>
      <w:marRight w:val="0"/>
      <w:marTop w:val="0"/>
      <w:marBottom w:val="0"/>
      <w:divBdr>
        <w:top w:val="none" w:sz="0" w:space="0" w:color="auto"/>
        <w:left w:val="none" w:sz="0" w:space="0" w:color="auto"/>
        <w:bottom w:val="none" w:sz="0" w:space="0" w:color="auto"/>
        <w:right w:val="none" w:sz="0" w:space="0" w:color="auto"/>
      </w:divBdr>
      <w:divsChild>
        <w:div w:id="1796170632">
          <w:marLeft w:val="0"/>
          <w:marRight w:val="0"/>
          <w:marTop w:val="0"/>
          <w:marBottom w:val="0"/>
          <w:divBdr>
            <w:top w:val="none" w:sz="0" w:space="0" w:color="auto"/>
            <w:left w:val="none" w:sz="0" w:space="0" w:color="auto"/>
            <w:bottom w:val="none" w:sz="0" w:space="0" w:color="auto"/>
            <w:right w:val="none" w:sz="0" w:space="0" w:color="auto"/>
          </w:divBdr>
        </w:div>
        <w:div w:id="2056931141">
          <w:marLeft w:val="0"/>
          <w:marRight w:val="0"/>
          <w:marTop w:val="0"/>
          <w:marBottom w:val="0"/>
          <w:divBdr>
            <w:top w:val="none" w:sz="0" w:space="0" w:color="auto"/>
            <w:left w:val="none" w:sz="0" w:space="0" w:color="auto"/>
            <w:bottom w:val="none" w:sz="0" w:space="0" w:color="auto"/>
            <w:right w:val="none" w:sz="0" w:space="0" w:color="auto"/>
          </w:divBdr>
        </w:div>
        <w:div w:id="1254314353">
          <w:marLeft w:val="0"/>
          <w:marRight w:val="0"/>
          <w:marTop w:val="0"/>
          <w:marBottom w:val="0"/>
          <w:divBdr>
            <w:top w:val="none" w:sz="0" w:space="0" w:color="auto"/>
            <w:left w:val="none" w:sz="0" w:space="0" w:color="auto"/>
            <w:bottom w:val="none" w:sz="0" w:space="0" w:color="auto"/>
            <w:right w:val="none" w:sz="0" w:space="0" w:color="auto"/>
          </w:divBdr>
        </w:div>
        <w:div w:id="1760128839">
          <w:marLeft w:val="0"/>
          <w:marRight w:val="0"/>
          <w:marTop w:val="0"/>
          <w:marBottom w:val="0"/>
          <w:divBdr>
            <w:top w:val="none" w:sz="0" w:space="0" w:color="auto"/>
            <w:left w:val="none" w:sz="0" w:space="0" w:color="auto"/>
            <w:bottom w:val="none" w:sz="0" w:space="0" w:color="auto"/>
            <w:right w:val="none" w:sz="0" w:space="0" w:color="auto"/>
          </w:divBdr>
          <w:divsChild>
            <w:div w:id="1979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48">
      <w:bodyDiv w:val="1"/>
      <w:marLeft w:val="0"/>
      <w:marRight w:val="0"/>
      <w:marTop w:val="0"/>
      <w:marBottom w:val="0"/>
      <w:divBdr>
        <w:top w:val="none" w:sz="0" w:space="0" w:color="auto"/>
        <w:left w:val="none" w:sz="0" w:space="0" w:color="auto"/>
        <w:bottom w:val="none" w:sz="0" w:space="0" w:color="auto"/>
        <w:right w:val="none" w:sz="0" w:space="0" w:color="auto"/>
      </w:divBdr>
      <w:divsChild>
        <w:div w:id="1425345391">
          <w:marLeft w:val="0"/>
          <w:marRight w:val="0"/>
          <w:marTop w:val="0"/>
          <w:marBottom w:val="0"/>
          <w:divBdr>
            <w:top w:val="none" w:sz="0" w:space="0" w:color="auto"/>
            <w:left w:val="none" w:sz="0" w:space="0" w:color="auto"/>
            <w:bottom w:val="none" w:sz="0" w:space="0" w:color="auto"/>
            <w:right w:val="none" w:sz="0" w:space="0" w:color="auto"/>
          </w:divBdr>
        </w:div>
        <w:div w:id="901332470">
          <w:marLeft w:val="0"/>
          <w:marRight w:val="0"/>
          <w:marTop w:val="0"/>
          <w:marBottom w:val="0"/>
          <w:divBdr>
            <w:top w:val="none" w:sz="0" w:space="0" w:color="auto"/>
            <w:left w:val="none" w:sz="0" w:space="0" w:color="auto"/>
            <w:bottom w:val="none" w:sz="0" w:space="0" w:color="auto"/>
            <w:right w:val="none" w:sz="0" w:space="0" w:color="auto"/>
          </w:divBdr>
        </w:div>
      </w:divsChild>
    </w:div>
    <w:div w:id="1114593991">
      <w:bodyDiv w:val="1"/>
      <w:marLeft w:val="0"/>
      <w:marRight w:val="0"/>
      <w:marTop w:val="0"/>
      <w:marBottom w:val="0"/>
      <w:divBdr>
        <w:top w:val="none" w:sz="0" w:space="0" w:color="auto"/>
        <w:left w:val="none" w:sz="0" w:space="0" w:color="auto"/>
        <w:bottom w:val="none" w:sz="0" w:space="0" w:color="auto"/>
        <w:right w:val="none" w:sz="0" w:space="0" w:color="auto"/>
      </w:divBdr>
    </w:div>
    <w:div w:id="1180462791">
      <w:bodyDiv w:val="1"/>
      <w:marLeft w:val="0"/>
      <w:marRight w:val="0"/>
      <w:marTop w:val="0"/>
      <w:marBottom w:val="0"/>
      <w:divBdr>
        <w:top w:val="none" w:sz="0" w:space="0" w:color="auto"/>
        <w:left w:val="none" w:sz="0" w:space="0" w:color="auto"/>
        <w:bottom w:val="none" w:sz="0" w:space="0" w:color="auto"/>
        <w:right w:val="none" w:sz="0" w:space="0" w:color="auto"/>
      </w:divBdr>
      <w:divsChild>
        <w:div w:id="226844702">
          <w:marLeft w:val="0"/>
          <w:marRight w:val="0"/>
          <w:marTop w:val="0"/>
          <w:marBottom w:val="0"/>
          <w:divBdr>
            <w:top w:val="none" w:sz="0" w:space="0" w:color="auto"/>
            <w:left w:val="none" w:sz="0" w:space="0" w:color="auto"/>
            <w:bottom w:val="none" w:sz="0" w:space="0" w:color="auto"/>
            <w:right w:val="none" w:sz="0" w:space="0" w:color="auto"/>
          </w:divBdr>
        </w:div>
        <w:div w:id="2026012296">
          <w:marLeft w:val="0"/>
          <w:marRight w:val="0"/>
          <w:marTop w:val="0"/>
          <w:marBottom w:val="0"/>
          <w:divBdr>
            <w:top w:val="none" w:sz="0" w:space="0" w:color="auto"/>
            <w:left w:val="none" w:sz="0" w:space="0" w:color="auto"/>
            <w:bottom w:val="none" w:sz="0" w:space="0" w:color="auto"/>
            <w:right w:val="none" w:sz="0" w:space="0" w:color="auto"/>
          </w:divBdr>
        </w:div>
      </w:divsChild>
    </w:div>
    <w:div w:id="1392265264">
      <w:bodyDiv w:val="1"/>
      <w:marLeft w:val="0"/>
      <w:marRight w:val="0"/>
      <w:marTop w:val="0"/>
      <w:marBottom w:val="0"/>
      <w:divBdr>
        <w:top w:val="none" w:sz="0" w:space="0" w:color="auto"/>
        <w:left w:val="none" w:sz="0" w:space="0" w:color="auto"/>
        <w:bottom w:val="none" w:sz="0" w:space="0" w:color="auto"/>
        <w:right w:val="none" w:sz="0" w:space="0" w:color="auto"/>
      </w:divBdr>
      <w:divsChild>
        <w:div w:id="1682513771">
          <w:marLeft w:val="0"/>
          <w:marRight w:val="0"/>
          <w:marTop w:val="0"/>
          <w:marBottom w:val="0"/>
          <w:divBdr>
            <w:top w:val="none" w:sz="0" w:space="0" w:color="auto"/>
            <w:left w:val="none" w:sz="0" w:space="0" w:color="auto"/>
            <w:bottom w:val="none" w:sz="0" w:space="0" w:color="auto"/>
            <w:right w:val="none" w:sz="0" w:space="0" w:color="auto"/>
          </w:divBdr>
        </w:div>
        <w:div w:id="1870953549">
          <w:marLeft w:val="0"/>
          <w:marRight w:val="0"/>
          <w:marTop w:val="0"/>
          <w:marBottom w:val="0"/>
          <w:divBdr>
            <w:top w:val="none" w:sz="0" w:space="0" w:color="auto"/>
            <w:left w:val="none" w:sz="0" w:space="0" w:color="auto"/>
            <w:bottom w:val="none" w:sz="0" w:space="0" w:color="auto"/>
            <w:right w:val="none" w:sz="0" w:space="0" w:color="auto"/>
          </w:divBdr>
        </w:div>
      </w:divsChild>
    </w:div>
    <w:div w:id="1455782061">
      <w:bodyDiv w:val="1"/>
      <w:marLeft w:val="0"/>
      <w:marRight w:val="0"/>
      <w:marTop w:val="0"/>
      <w:marBottom w:val="0"/>
      <w:divBdr>
        <w:top w:val="none" w:sz="0" w:space="0" w:color="auto"/>
        <w:left w:val="none" w:sz="0" w:space="0" w:color="auto"/>
        <w:bottom w:val="none" w:sz="0" w:space="0" w:color="auto"/>
        <w:right w:val="none" w:sz="0" w:space="0" w:color="auto"/>
      </w:divBdr>
    </w:div>
    <w:div w:id="1611165059">
      <w:bodyDiv w:val="1"/>
      <w:marLeft w:val="0"/>
      <w:marRight w:val="0"/>
      <w:marTop w:val="0"/>
      <w:marBottom w:val="0"/>
      <w:divBdr>
        <w:top w:val="none" w:sz="0" w:space="0" w:color="auto"/>
        <w:left w:val="none" w:sz="0" w:space="0" w:color="auto"/>
        <w:bottom w:val="none" w:sz="0" w:space="0" w:color="auto"/>
        <w:right w:val="none" w:sz="0" w:space="0" w:color="auto"/>
      </w:divBdr>
    </w:div>
    <w:div w:id="1684552499">
      <w:bodyDiv w:val="1"/>
      <w:marLeft w:val="0"/>
      <w:marRight w:val="0"/>
      <w:marTop w:val="0"/>
      <w:marBottom w:val="0"/>
      <w:divBdr>
        <w:top w:val="none" w:sz="0" w:space="0" w:color="auto"/>
        <w:left w:val="none" w:sz="0" w:space="0" w:color="auto"/>
        <w:bottom w:val="none" w:sz="0" w:space="0" w:color="auto"/>
        <w:right w:val="none" w:sz="0" w:space="0" w:color="auto"/>
      </w:divBdr>
    </w:div>
    <w:div w:id="2143497256">
      <w:bodyDiv w:val="1"/>
      <w:marLeft w:val="0"/>
      <w:marRight w:val="0"/>
      <w:marTop w:val="0"/>
      <w:marBottom w:val="0"/>
      <w:divBdr>
        <w:top w:val="none" w:sz="0" w:space="0" w:color="auto"/>
        <w:left w:val="none" w:sz="0" w:space="0" w:color="auto"/>
        <w:bottom w:val="none" w:sz="0" w:space="0" w:color="auto"/>
        <w:right w:val="none" w:sz="0" w:space="0" w:color="auto"/>
      </w:divBdr>
      <w:divsChild>
        <w:div w:id="1606496883">
          <w:marLeft w:val="0"/>
          <w:marRight w:val="0"/>
          <w:marTop w:val="0"/>
          <w:marBottom w:val="0"/>
          <w:divBdr>
            <w:top w:val="none" w:sz="0" w:space="0" w:color="auto"/>
            <w:left w:val="none" w:sz="0" w:space="0" w:color="auto"/>
            <w:bottom w:val="none" w:sz="0" w:space="0" w:color="auto"/>
            <w:right w:val="none" w:sz="0" w:space="0" w:color="auto"/>
          </w:divBdr>
          <w:divsChild>
            <w:div w:id="1267229041">
              <w:marLeft w:val="0"/>
              <w:marRight w:val="0"/>
              <w:marTop w:val="0"/>
              <w:marBottom w:val="0"/>
              <w:divBdr>
                <w:top w:val="none" w:sz="0" w:space="0" w:color="auto"/>
                <w:left w:val="none" w:sz="0" w:space="0" w:color="auto"/>
                <w:bottom w:val="none" w:sz="0" w:space="0" w:color="auto"/>
                <w:right w:val="none" w:sz="0" w:space="0" w:color="auto"/>
              </w:divBdr>
            </w:div>
          </w:divsChild>
        </w:div>
        <w:div w:id="20306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profiles/10181-Renaud-Comba.html" TargetMode="External"/><Relationship Id="rId13" Type="http://schemas.openxmlformats.org/officeDocument/2006/relationships/hyperlink" Target="https://www.unicef.org/learning-crisis" TargetMode="External"/><Relationship Id="rId18" Type="http://schemas.openxmlformats.org/officeDocument/2006/relationships/hyperlink" Target="https://www.norad.no/en/fron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unicef-irc.org/profiles/10343-Jessica-Bergmann.html" TargetMode="External"/><Relationship Id="rId12" Type="http://schemas.openxmlformats.org/officeDocument/2006/relationships/hyperlink" Target="https://www.unicef-irc.org/publications/?viewMode=&amp;sortBy=newest&amp;Title=Togo&amp;topic=&amp;LangID=&amp;AuthorID=&amp;CountryID=&amp;SeriesId=&amp;ThematicAreasID=&amp;ThemeId=&amp;ThematicSeriesID=&amp;dateStart=1-2023&amp;dateEnd=1-2023" TargetMode="External"/><Relationship Id="rId17" Type="http://schemas.openxmlformats.org/officeDocument/2006/relationships/hyperlink" Target="https://jacobsfoundation.org/" TargetMode="External"/><Relationship Id="rId2" Type="http://schemas.openxmlformats.org/officeDocument/2006/relationships/settings" Target="settings.xml"/><Relationship Id="rId16" Type="http://schemas.openxmlformats.org/officeDocument/2006/relationships/hyperlink" Target="https://hewlett.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unicef-irc.org/profiles/10371-Kevin-Clidoro.html" TargetMode="External"/><Relationship Id="rId11" Type="http://schemas.openxmlformats.org/officeDocument/2006/relationships/hyperlink" Target="https://www.globalpartnership.org/" TargetMode="External"/><Relationship Id="rId5" Type="http://schemas.openxmlformats.org/officeDocument/2006/relationships/endnotes" Target="endnotes.xml"/><Relationship Id="rId15" Type="http://schemas.openxmlformats.org/officeDocument/2006/relationships/hyperlink" Target="https://www.idrc.ca/es" TargetMode="External"/><Relationship Id="rId10" Type="http://schemas.openxmlformats.org/officeDocument/2006/relationships/hyperlink" Target="https://www.unicef-irc.org/article/2311-our-teachers-our-researchers-three-insights-from-teachers-in-lao-pdr-on-co-implementing-education-research.html" TargetMode="External"/><Relationship Id="rId19" Type="http://schemas.openxmlformats.org/officeDocument/2006/relationships/hyperlink" Target="https://schools2030.org/" TargetMode="External"/><Relationship Id="rId4" Type="http://schemas.openxmlformats.org/officeDocument/2006/relationships/footnotes" Target="footnotes.xml"/><Relationship Id="rId9" Type="http://schemas.openxmlformats.org/officeDocument/2006/relationships/hyperlink" Target="https://www.unicef-irc.org/research/data-must-speak" TargetMode="External"/><Relationship Id="rId14" Type="http://schemas.openxmlformats.org/officeDocument/2006/relationships/hyperlink" Target="https://www.globalpartnershi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1424</Words>
  <Characters>9226</Characters>
  <Application>Microsoft Office Word</Application>
  <DocSecurity>0</DocSecurity>
  <Lines>76</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Saintelmy</dc:creator>
  <cp:keywords/>
  <dc:description/>
  <cp:lastModifiedBy>Debbie Saintelmy</cp:lastModifiedBy>
  <cp:revision>14</cp:revision>
  <dcterms:created xsi:type="dcterms:W3CDTF">2023-03-17T15:04:00Z</dcterms:created>
  <dcterms:modified xsi:type="dcterms:W3CDTF">2023-03-27T17:26:00Z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3/17/2023 14:23:31</vt:lpwstr>
  </property>
</Properties>
</file>